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8A61" w14:textId="2146689F" w:rsidR="00755881" w:rsidRPr="00B477C1" w:rsidRDefault="00755881" w:rsidP="00755881">
      <w:pPr>
        <w:rPr>
          <w:rFonts w:ascii="Times New Roman" w:hAnsi="Times New Roman" w:cs="Times New Roman"/>
          <w:sz w:val="24"/>
          <w:szCs w:val="24"/>
        </w:rPr>
      </w:pPr>
      <w:r w:rsidRPr="00B477C1">
        <w:rPr>
          <w:rFonts w:ascii="Times New Roman" w:hAnsi="Times New Roman" w:cs="Times New Roman"/>
          <w:b/>
          <w:bCs/>
          <w:color w:val="006BA6"/>
          <w:sz w:val="24"/>
          <w:szCs w:val="24"/>
          <w:u w:val="single"/>
        </w:rPr>
        <w:t>Overview:</w:t>
      </w:r>
      <w:r w:rsidRPr="00B477C1">
        <w:rPr>
          <w:rFonts w:ascii="Times New Roman" w:hAnsi="Times New Roman" w:cs="Times New Roman"/>
          <w:color w:val="006BA6"/>
          <w:sz w:val="24"/>
          <w:szCs w:val="24"/>
        </w:rPr>
        <w:t xml:space="preserve"> </w:t>
      </w:r>
      <w:r w:rsidR="00E92D12" w:rsidRPr="00B477C1">
        <w:rPr>
          <w:rFonts w:ascii="Times New Roman" w:hAnsi="Times New Roman" w:cs="Times New Roman"/>
          <w:sz w:val="24"/>
          <w:szCs w:val="24"/>
        </w:rPr>
        <w:t xml:space="preserve">The Coast Guard </w:t>
      </w:r>
      <w:r w:rsidR="00BE7617" w:rsidRPr="00B477C1">
        <w:rPr>
          <w:rFonts w:ascii="Times New Roman" w:hAnsi="Times New Roman" w:cs="Times New Roman"/>
          <w:sz w:val="24"/>
          <w:szCs w:val="24"/>
        </w:rPr>
        <w:t xml:space="preserve">is </w:t>
      </w:r>
      <w:r w:rsidR="002B67BF" w:rsidRPr="00B477C1">
        <w:rPr>
          <w:rFonts w:ascii="Times New Roman" w:hAnsi="Times New Roman" w:cs="Times New Roman"/>
          <w:sz w:val="24"/>
          <w:szCs w:val="24"/>
        </w:rPr>
        <w:t xml:space="preserve">facing a </w:t>
      </w:r>
      <w:r w:rsidR="00BE7617" w:rsidRPr="00B477C1">
        <w:rPr>
          <w:rFonts w:ascii="Times New Roman" w:hAnsi="Times New Roman" w:cs="Times New Roman"/>
          <w:sz w:val="24"/>
          <w:szCs w:val="24"/>
        </w:rPr>
        <w:t>significant</w:t>
      </w:r>
      <w:r w:rsidR="002B67BF" w:rsidRPr="00B477C1">
        <w:rPr>
          <w:rFonts w:ascii="Times New Roman" w:hAnsi="Times New Roman" w:cs="Times New Roman"/>
          <w:sz w:val="24"/>
          <w:szCs w:val="24"/>
        </w:rPr>
        <w:t xml:space="preserve"> </w:t>
      </w:r>
      <w:r w:rsidR="00E92D12" w:rsidRPr="00B477C1">
        <w:rPr>
          <w:rFonts w:ascii="Times New Roman" w:hAnsi="Times New Roman" w:cs="Times New Roman"/>
          <w:sz w:val="24"/>
          <w:szCs w:val="24"/>
        </w:rPr>
        <w:t xml:space="preserve">enlisted </w:t>
      </w:r>
      <w:r w:rsidR="002B67BF" w:rsidRPr="00B477C1">
        <w:rPr>
          <w:rFonts w:ascii="Times New Roman" w:hAnsi="Times New Roman" w:cs="Times New Roman"/>
          <w:sz w:val="24"/>
          <w:szCs w:val="24"/>
        </w:rPr>
        <w:t>workforce shortage</w:t>
      </w:r>
      <w:r w:rsidR="00973B4F" w:rsidRPr="00B477C1">
        <w:rPr>
          <w:rFonts w:ascii="Times New Roman" w:hAnsi="Times New Roman" w:cs="Times New Roman"/>
          <w:sz w:val="24"/>
          <w:szCs w:val="24"/>
        </w:rPr>
        <w:t xml:space="preserve"> and they need your help</w:t>
      </w:r>
      <w:r w:rsidR="00871387">
        <w:rPr>
          <w:rFonts w:ascii="Times New Roman" w:hAnsi="Times New Roman" w:cs="Times New Roman"/>
          <w:sz w:val="24"/>
          <w:szCs w:val="24"/>
        </w:rPr>
        <w:t xml:space="preserve">. </w:t>
      </w:r>
      <w:r w:rsidR="00E92D12" w:rsidRPr="00B477C1">
        <w:rPr>
          <w:rFonts w:ascii="Times New Roman" w:hAnsi="Times New Roman" w:cs="Times New Roman"/>
          <w:sz w:val="24"/>
          <w:szCs w:val="24"/>
        </w:rPr>
        <w:t>Currently less than 44% of our non-rate billets are filled</w:t>
      </w:r>
      <w:r w:rsidR="00BE7617" w:rsidRPr="00B477C1">
        <w:rPr>
          <w:rFonts w:ascii="Times New Roman" w:hAnsi="Times New Roman" w:cs="Times New Roman"/>
          <w:sz w:val="24"/>
          <w:szCs w:val="24"/>
        </w:rPr>
        <w:t xml:space="preserve"> and many rates are considered critical</w:t>
      </w:r>
      <w:r w:rsidR="00430F8E" w:rsidRPr="00B477C1">
        <w:rPr>
          <w:rFonts w:ascii="Times New Roman" w:hAnsi="Times New Roman" w:cs="Times New Roman"/>
          <w:sz w:val="24"/>
          <w:szCs w:val="24"/>
        </w:rPr>
        <w:t xml:space="preserve">. We can’t </w:t>
      </w:r>
      <w:r w:rsidR="00043F5D" w:rsidRPr="00B477C1">
        <w:rPr>
          <w:rFonts w:ascii="Times New Roman" w:hAnsi="Times New Roman" w:cs="Times New Roman"/>
          <w:sz w:val="24"/>
          <w:szCs w:val="24"/>
        </w:rPr>
        <w:t xml:space="preserve">rely on </w:t>
      </w:r>
      <w:r w:rsidR="001E35A4" w:rsidRPr="00B477C1">
        <w:rPr>
          <w:rFonts w:ascii="Times New Roman" w:hAnsi="Times New Roman" w:cs="Times New Roman"/>
          <w:sz w:val="24"/>
          <w:szCs w:val="24"/>
        </w:rPr>
        <w:t>tapping into traditional pools of talent</w:t>
      </w:r>
      <w:r w:rsidR="009B332B" w:rsidRPr="00B477C1">
        <w:rPr>
          <w:rFonts w:ascii="Times New Roman" w:hAnsi="Times New Roman" w:cs="Times New Roman"/>
          <w:sz w:val="24"/>
          <w:szCs w:val="24"/>
        </w:rPr>
        <w:t>,</w:t>
      </w:r>
      <w:r w:rsidR="001E35A4" w:rsidRPr="00B477C1">
        <w:rPr>
          <w:rFonts w:ascii="Times New Roman" w:hAnsi="Times New Roman" w:cs="Times New Roman"/>
          <w:sz w:val="24"/>
          <w:szCs w:val="24"/>
        </w:rPr>
        <w:t xml:space="preserve"> we must </w:t>
      </w:r>
      <w:r w:rsidR="009B332B" w:rsidRPr="00B477C1">
        <w:rPr>
          <w:rFonts w:ascii="Times New Roman" w:hAnsi="Times New Roman" w:cs="Times New Roman"/>
          <w:sz w:val="24"/>
          <w:szCs w:val="24"/>
        </w:rPr>
        <w:t xml:space="preserve">instead, </w:t>
      </w:r>
      <w:r w:rsidR="001E35A4" w:rsidRPr="00B477C1">
        <w:rPr>
          <w:rFonts w:ascii="Times New Roman" w:hAnsi="Times New Roman" w:cs="Times New Roman"/>
          <w:sz w:val="24"/>
          <w:szCs w:val="24"/>
        </w:rPr>
        <w:t xml:space="preserve">cast a wider net </w:t>
      </w:r>
      <w:r w:rsidR="001E7F5D" w:rsidRPr="00B477C1">
        <w:rPr>
          <w:rFonts w:ascii="Times New Roman" w:hAnsi="Times New Roman" w:cs="Times New Roman"/>
          <w:sz w:val="24"/>
          <w:szCs w:val="24"/>
        </w:rPr>
        <w:t xml:space="preserve">to attract </w:t>
      </w:r>
      <w:r w:rsidR="0074724F" w:rsidRPr="00B477C1">
        <w:rPr>
          <w:rFonts w:ascii="Times New Roman" w:hAnsi="Times New Roman" w:cs="Times New Roman"/>
          <w:sz w:val="24"/>
          <w:szCs w:val="24"/>
        </w:rPr>
        <w:t>other segments of our population</w:t>
      </w:r>
      <w:r w:rsidR="003D3F6E" w:rsidRPr="00B477C1">
        <w:rPr>
          <w:rFonts w:ascii="Times New Roman" w:hAnsi="Times New Roman" w:cs="Times New Roman"/>
          <w:sz w:val="24"/>
          <w:szCs w:val="24"/>
        </w:rPr>
        <w:t xml:space="preserve"> to</w:t>
      </w:r>
      <w:r w:rsidR="00BD4BA9" w:rsidRPr="00B477C1">
        <w:rPr>
          <w:rFonts w:ascii="Times New Roman" w:hAnsi="Times New Roman" w:cs="Times New Roman"/>
          <w:sz w:val="24"/>
          <w:szCs w:val="24"/>
        </w:rPr>
        <w:t xml:space="preserve"> </w:t>
      </w:r>
      <w:r w:rsidR="00AF4655" w:rsidRPr="00B477C1">
        <w:rPr>
          <w:rFonts w:ascii="Times New Roman" w:hAnsi="Times New Roman" w:cs="Times New Roman"/>
          <w:sz w:val="24"/>
          <w:szCs w:val="24"/>
        </w:rPr>
        <w:t xml:space="preserve">help </w:t>
      </w:r>
      <w:r w:rsidR="00570508" w:rsidRPr="00B477C1">
        <w:rPr>
          <w:rFonts w:ascii="Times New Roman" w:hAnsi="Times New Roman" w:cs="Times New Roman"/>
          <w:sz w:val="24"/>
          <w:szCs w:val="24"/>
        </w:rPr>
        <w:t xml:space="preserve">fill </w:t>
      </w:r>
      <w:r w:rsidR="009B332B" w:rsidRPr="00B477C1">
        <w:rPr>
          <w:rFonts w:ascii="Times New Roman" w:hAnsi="Times New Roman" w:cs="Times New Roman"/>
          <w:sz w:val="24"/>
          <w:szCs w:val="24"/>
        </w:rPr>
        <w:t xml:space="preserve">critical </w:t>
      </w:r>
      <w:r w:rsidR="00570508" w:rsidRPr="00B477C1">
        <w:rPr>
          <w:rFonts w:ascii="Times New Roman" w:hAnsi="Times New Roman" w:cs="Times New Roman"/>
          <w:sz w:val="24"/>
          <w:szCs w:val="24"/>
        </w:rPr>
        <w:t>vacancies</w:t>
      </w:r>
      <w:r w:rsidR="00871387">
        <w:rPr>
          <w:rFonts w:ascii="Times New Roman" w:hAnsi="Times New Roman" w:cs="Times New Roman"/>
          <w:sz w:val="24"/>
          <w:szCs w:val="24"/>
        </w:rPr>
        <w:t xml:space="preserve">. </w:t>
      </w:r>
      <w:r w:rsidR="00570508" w:rsidRPr="00B477C1">
        <w:rPr>
          <w:rFonts w:ascii="Times New Roman" w:hAnsi="Times New Roman" w:cs="Times New Roman"/>
          <w:sz w:val="24"/>
          <w:szCs w:val="24"/>
        </w:rPr>
        <w:t xml:space="preserve">Several recent changes are designed to </w:t>
      </w:r>
      <w:r w:rsidR="002B67BF" w:rsidRPr="00B477C1">
        <w:rPr>
          <w:rFonts w:ascii="Times New Roman" w:hAnsi="Times New Roman" w:cs="Times New Roman"/>
          <w:sz w:val="24"/>
          <w:szCs w:val="24"/>
        </w:rPr>
        <w:t>attract</w:t>
      </w:r>
      <w:r w:rsidR="00570508" w:rsidRPr="00B477C1">
        <w:rPr>
          <w:rFonts w:ascii="Times New Roman" w:hAnsi="Times New Roman" w:cs="Times New Roman"/>
          <w:sz w:val="24"/>
          <w:szCs w:val="24"/>
        </w:rPr>
        <w:t xml:space="preserve"> Lawful Permanent Residents (aka </w:t>
      </w:r>
      <w:r w:rsidR="002B67BF" w:rsidRPr="00B477C1">
        <w:rPr>
          <w:rFonts w:ascii="Times New Roman" w:hAnsi="Times New Roman" w:cs="Times New Roman"/>
          <w:sz w:val="24"/>
          <w:szCs w:val="24"/>
        </w:rPr>
        <w:t>‘</w:t>
      </w:r>
      <w:r w:rsidR="00570508" w:rsidRPr="00B477C1">
        <w:rPr>
          <w:rFonts w:ascii="Times New Roman" w:hAnsi="Times New Roman" w:cs="Times New Roman"/>
          <w:sz w:val="24"/>
          <w:szCs w:val="24"/>
        </w:rPr>
        <w:t>Green Card Holders</w:t>
      </w:r>
      <w:r w:rsidR="002B67BF" w:rsidRPr="00B477C1">
        <w:rPr>
          <w:rFonts w:ascii="Times New Roman" w:hAnsi="Times New Roman" w:cs="Times New Roman"/>
          <w:sz w:val="24"/>
          <w:szCs w:val="24"/>
        </w:rPr>
        <w:t>’</w:t>
      </w:r>
      <w:r w:rsidR="00570508" w:rsidRPr="00B477C1">
        <w:rPr>
          <w:rFonts w:ascii="Times New Roman" w:hAnsi="Times New Roman" w:cs="Times New Roman"/>
          <w:sz w:val="24"/>
          <w:szCs w:val="24"/>
        </w:rPr>
        <w:t>) and non-English-speakers</w:t>
      </w:r>
      <w:r w:rsidR="00871387">
        <w:rPr>
          <w:rFonts w:ascii="Times New Roman" w:hAnsi="Times New Roman" w:cs="Times New Roman"/>
          <w:sz w:val="24"/>
          <w:szCs w:val="24"/>
        </w:rPr>
        <w:t xml:space="preserve">. </w:t>
      </w:r>
      <w:r w:rsidR="003E0979" w:rsidRPr="00B477C1">
        <w:rPr>
          <w:rFonts w:ascii="Times New Roman" w:hAnsi="Times New Roman" w:cs="Times New Roman"/>
          <w:sz w:val="24"/>
          <w:szCs w:val="24"/>
        </w:rPr>
        <w:t>The Coast Guard</w:t>
      </w:r>
      <w:r w:rsidR="00B477C1">
        <w:rPr>
          <w:rFonts w:ascii="Times New Roman" w:hAnsi="Times New Roman" w:cs="Times New Roman"/>
          <w:sz w:val="24"/>
          <w:szCs w:val="24"/>
        </w:rPr>
        <w:t xml:space="preserve"> </w:t>
      </w:r>
      <w:r w:rsidR="00570508" w:rsidRPr="00B477C1">
        <w:rPr>
          <w:rFonts w:ascii="Times New Roman" w:hAnsi="Times New Roman" w:cs="Times New Roman"/>
          <w:b/>
          <w:bCs/>
          <w:color w:val="E03C31"/>
          <w:sz w:val="24"/>
          <w:szCs w:val="24"/>
          <w:u w:val="single"/>
        </w:rPr>
        <w:t>need</w:t>
      </w:r>
      <w:r w:rsidR="003B6B3A" w:rsidRPr="00B477C1">
        <w:rPr>
          <w:rFonts w:ascii="Times New Roman" w:hAnsi="Times New Roman" w:cs="Times New Roman"/>
          <w:b/>
          <w:bCs/>
          <w:color w:val="E03C31"/>
          <w:sz w:val="24"/>
          <w:szCs w:val="24"/>
          <w:u w:val="single"/>
        </w:rPr>
        <w:t>s</w:t>
      </w:r>
      <w:r w:rsidR="00570508" w:rsidRPr="00B477C1">
        <w:rPr>
          <w:rFonts w:ascii="Times New Roman" w:hAnsi="Times New Roman" w:cs="Times New Roman"/>
          <w:b/>
          <w:bCs/>
          <w:color w:val="E03C31"/>
          <w:sz w:val="24"/>
          <w:szCs w:val="24"/>
          <w:u w:val="single"/>
        </w:rPr>
        <w:t xml:space="preserve"> you</w:t>
      </w:r>
      <w:r w:rsidR="00570508" w:rsidRPr="00B477C1">
        <w:rPr>
          <w:rFonts w:ascii="Times New Roman" w:hAnsi="Times New Roman" w:cs="Times New Roman"/>
          <w:sz w:val="24"/>
          <w:szCs w:val="24"/>
        </w:rPr>
        <w:t xml:space="preserve"> to share these opportunities to communities in your local area</w:t>
      </w:r>
      <w:r w:rsidR="008713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79EA94" w14:textId="0D07FDB2" w:rsidR="00874798" w:rsidRPr="00B477C1" w:rsidRDefault="00874798" w:rsidP="00755881">
      <w:pPr>
        <w:rPr>
          <w:rFonts w:ascii="Times New Roman" w:hAnsi="Times New Roman" w:cs="Times New Roman"/>
          <w:b/>
          <w:bCs/>
          <w:color w:val="006BA6"/>
          <w:sz w:val="24"/>
          <w:szCs w:val="24"/>
          <w:u w:val="single"/>
        </w:rPr>
      </w:pPr>
      <w:r w:rsidRPr="00B477C1">
        <w:rPr>
          <w:rFonts w:ascii="Times New Roman" w:hAnsi="Times New Roman" w:cs="Times New Roman"/>
          <w:b/>
          <w:bCs/>
          <w:color w:val="006BA6"/>
          <w:sz w:val="24"/>
          <w:szCs w:val="24"/>
          <w:u w:val="single"/>
        </w:rPr>
        <w:t>Topline Message:</w:t>
      </w:r>
    </w:p>
    <w:p w14:paraId="33642AA0" w14:textId="3F65D11C" w:rsidR="00874798" w:rsidRPr="00B477C1" w:rsidRDefault="009A16C0" w:rsidP="0075588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477C1">
        <w:rPr>
          <w:rFonts w:ascii="Times New Roman" w:hAnsi="Times New Roman" w:cs="Times New Roman"/>
          <w:i/>
          <w:iCs/>
          <w:sz w:val="24"/>
          <w:szCs w:val="24"/>
        </w:rPr>
        <w:t>The Coast Guard has</w:t>
      </w:r>
      <w:r w:rsidR="00570508" w:rsidRPr="00B477C1">
        <w:rPr>
          <w:rFonts w:ascii="Times New Roman" w:hAnsi="Times New Roman" w:cs="Times New Roman"/>
          <w:i/>
          <w:iCs/>
          <w:sz w:val="24"/>
          <w:szCs w:val="24"/>
        </w:rPr>
        <w:t xml:space="preserve"> changed </w:t>
      </w:r>
      <w:r w:rsidR="00DB6ADB" w:rsidRPr="00B477C1">
        <w:rPr>
          <w:rFonts w:ascii="Times New Roman" w:hAnsi="Times New Roman" w:cs="Times New Roman"/>
          <w:i/>
          <w:iCs/>
          <w:sz w:val="24"/>
          <w:szCs w:val="24"/>
        </w:rPr>
        <w:t xml:space="preserve">two </w:t>
      </w:r>
      <w:r w:rsidR="00570508" w:rsidRPr="00B477C1">
        <w:rPr>
          <w:rFonts w:ascii="Times New Roman" w:hAnsi="Times New Roman" w:cs="Times New Roman"/>
          <w:i/>
          <w:iCs/>
          <w:sz w:val="24"/>
          <w:szCs w:val="24"/>
        </w:rPr>
        <w:t>polic</w:t>
      </w:r>
      <w:r w:rsidR="00DB6ADB" w:rsidRPr="00B477C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570508" w:rsidRPr="00B477C1">
        <w:rPr>
          <w:rFonts w:ascii="Times New Roman" w:hAnsi="Times New Roman" w:cs="Times New Roman"/>
          <w:i/>
          <w:iCs/>
          <w:sz w:val="24"/>
          <w:szCs w:val="24"/>
        </w:rPr>
        <w:t xml:space="preserve">es regarding </w:t>
      </w:r>
      <w:r w:rsidR="00DB6ADB" w:rsidRPr="00B477C1">
        <w:rPr>
          <w:rFonts w:ascii="Times New Roman" w:hAnsi="Times New Roman" w:cs="Times New Roman"/>
          <w:i/>
          <w:iCs/>
          <w:sz w:val="24"/>
          <w:szCs w:val="24"/>
        </w:rPr>
        <w:t>Lawful Permanent Residents (LPRs</w:t>
      </w:r>
      <w:r w:rsidR="002B67BF" w:rsidRPr="00B477C1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7138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DB6ADB" w:rsidRPr="00B477C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Any</w:t>
      </w:r>
      <w:r w:rsidR="00DB6ADB" w:rsidRPr="00B477C1">
        <w:rPr>
          <w:rFonts w:ascii="Times New Roman" w:hAnsi="Times New Roman" w:cs="Times New Roman"/>
          <w:i/>
          <w:iCs/>
          <w:sz w:val="24"/>
          <w:szCs w:val="24"/>
        </w:rPr>
        <w:t xml:space="preserve"> Lawful Permanent Resident with an unexpired ‘green card’ should talk with their local recruiter to see if they qualify for enlistment</w:t>
      </w:r>
      <w:r w:rsidR="0087138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B67BF" w:rsidRPr="00B477C1">
        <w:rPr>
          <w:rFonts w:ascii="Times New Roman" w:hAnsi="Times New Roman" w:cs="Times New Roman"/>
          <w:i/>
          <w:iCs/>
          <w:sz w:val="24"/>
          <w:szCs w:val="24"/>
        </w:rPr>
        <w:t xml:space="preserve">Once they join, they are entitled to expedited U.S. </w:t>
      </w:r>
      <w:r w:rsidR="00B67994" w:rsidRPr="00B477C1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2B67BF" w:rsidRPr="00B477C1">
        <w:rPr>
          <w:rFonts w:ascii="Times New Roman" w:hAnsi="Times New Roman" w:cs="Times New Roman"/>
          <w:i/>
          <w:iCs/>
          <w:sz w:val="24"/>
          <w:szCs w:val="24"/>
        </w:rPr>
        <w:t>itizenship</w:t>
      </w:r>
      <w:r w:rsidR="0087138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2B67BF" w:rsidRPr="00B477C1">
        <w:rPr>
          <w:rFonts w:ascii="Times New Roman" w:hAnsi="Times New Roman" w:cs="Times New Roman"/>
          <w:i/>
          <w:iCs/>
          <w:sz w:val="24"/>
          <w:szCs w:val="24"/>
        </w:rPr>
        <w:t>We</w:t>
      </w:r>
      <w:r w:rsidR="00DB6ADB" w:rsidRPr="00B477C1">
        <w:rPr>
          <w:rFonts w:ascii="Times New Roman" w:hAnsi="Times New Roman" w:cs="Times New Roman"/>
          <w:i/>
          <w:iCs/>
          <w:sz w:val="24"/>
          <w:szCs w:val="24"/>
        </w:rPr>
        <w:t xml:space="preserve"> have </w:t>
      </w:r>
      <w:r w:rsidR="002B67BF" w:rsidRPr="00B477C1">
        <w:rPr>
          <w:rFonts w:ascii="Times New Roman" w:hAnsi="Times New Roman" w:cs="Times New Roman"/>
          <w:i/>
          <w:iCs/>
          <w:sz w:val="24"/>
          <w:szCs w:val="24"/>
        </w:rPr>
        <w:t xml:space="preserve">also </w:t>
      </w:r>
      <w:r w:rsidR="00DB6ADB" w:rsidRPr="00B477C1">
        <w:rPr>
          <w:rFonts w:ascii="Times New Roman" w:hAnsi="Times New Roman" w:cs="Times New Roman"/>
          <w:i/>
          <w:iCs/>
          <w:sz w:val="24"/>
          <w:szCs w:val="24"/>
        </w:rPr>
        <w:t xml:space="preserve">stood up a </w:t>
      </w:r>
      <w:r w:rsidRPr="00B477C1">
        <w:rPr>
          <w:rFonts w:ascii="Times New Roman" w:hAnsi="Times New Roman" w:cs="Times New Roman"/>
          <w:i/>
          <w:iCs/>
          <w:sz w:val="24"/>
          <w:szCs w:val="24"/>
        </w:rPr>
        <w:t xml:space="preserve">new </w:t>
      </w:r>
      <w:r w:rsidR="00E92D12" w:rsidRPr="00B477C1">
        <w:rPr>
          <w:rFonts w:ascii="Times New Roman" w:hAnsi="Times New Roman" w:cs="Times New Roman"/>
          <w:i/>
          <w:iCs/>
          <w:sz w:val="24"/>
          <w:szCs w:val="24"/>
        </w:rPr>
        <w:t xml:space="preserve">language training </w:t>
      </w:r>
      <w:r w:rsidRPr="00B477C1">
        <w:rPr>
          <w:rFonts w:ascii="Times New Roman" w:hAnsi="Times New Roman" w:cs="Times New Roman"/>
          <w:i/>
          <w:iCs/>
          <w:sz w:val="24"/>
          <w:szCs w:val="24"/>
        </w:rPr>
        <w:t>program for non-English speakers</w:t>
      </w:r>
      <w:r w:rsidR="0087138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5D0AD8">
        <w:rPr>
          <w:rFonts w:ascii="Times New Roman" w:hAnsi="Times New Roman" w:cs="Times New Roman"/>
          <w:i/>
          <w:iCs/>
          <w:sz w:val="24"/>
          <w:szCs w:val="24"/>
        </w:rPr>
        <w:t>Qualified applicants</w:t>
      </w:r>
      <w:r w:rsidR="00F50A7B" w:rsidRPr="00B477C1">
        <w:rPr>
          <w:rFonts w:ascii="Times New Roman" w:hAnsi="Times New Roman" w:cs="Times New Roman"/>
          <w:i/>
          <w:iCs/>
          <w:sz w:val="24"/>
          <w:szCs w:val="24"/>
        </w:rPr>
        <w:t xml:space="preserve"> can attend this program before bootcamp and after completion are entitled to retake their ASVAB test</w:t>
      </w:r>
      <w:r w:rsidR="0087138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F50A7B" w:rsidRPr="00B477C1">
        <w:rPr>
          <w:rFonts w:ascii="Times New Roman" w:hAnsi="Times New Roman" w:cs="Times New Roman"/>
          <w:i/>
          <w:iCs/>
          <w:sz w:val="24"/>
          <w:szCs w:val="24"/>
        </w:rPr>
        <w:t>Together these changes offer LPR</w:t>
      </w:r>
      <w:r w:rsidR="005D0AD8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F50A7B" w:rsidRPr="00B477C1">
        <w:rPr>
          <w:rFonts w:ascii="Times New Roman" w:hAnsi="Times New Roman" w:cs="Times New Roman"/>
          <w:i/>
          <w:iCs/>
          <w:sz w:val="24"/>
          <w:szCs w:val="24"/>
        </w:rPr>
        <w:t xml:space="preserve"> an opportunity to</w:t>
      </w:r>
      <w:r w:rsidR="002B67BF" w:rsidRPr="00B477C1">
        <w:rPr>
          <w:rFonts w:ascii="Times New Roman" w:hAnsi="Times New Roman" w:cs="Times New Roman"/>
          <w:i/>
          <w:iCs/>
          <w:sz w:val="24"/>
          <w:szCs w:val="24"/>
        </w:rPr>
        <w:t xml:space="preserve"> serve</w:t>
      </w:r>
      <w:r w:rsidR="00F50A7B" w:rsidRPr="00B477C1">
        <w:rPr>
          <w:rFonts w:ascii="Times New Roman" w:hAnsi="Times New Roman" w:cs="Times New Roman"/>
          <w:i/>
          <w:iCs/>
          <w:sz w:val="24"/>
          <w:szCs w:val="24"/>
        </w:rPr>
        <w:t xml:space="preserve"> their country </w:t>
      </w:r>
      <w:r w:rsidR="002B67BF" w:rsidRPr="00B477C1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F50A7B" w:rsidRPr="00B477C1">
        <w:rPr>
          <w:rFonts w:ascii="Times New Roman" w:hAnsi="Times New Roman" w:cs="Times New Roman"/>
          <w:i/>
          <w:iCs/>
          <w:sz w:val="24"/>
          <w:szCs w:val="24"/>
        </w:rPr>
        <w:t xml:space="preserve"> the Coast Guard, expedite their pathway to citizenship, and </w:t>
      </w:r>
      <w:r w:rsidR="005D0AD8">
        <w:rPr>
          <w:rFonts w:ascii="Times New Roman" w:hAnsi="Times New Roman" w:cs="Times New Roman"/>
          <w:i/>
          <w:iCs/>
          <w:sz w:val="24"/>
          <w:szCs w:val="24"/>
        </w:rPr>
        <w:t xml:space="preserve">help </w:t>
      </w:r>
      <w:r w:rsidR="00F50A7B" w:rsidRPr="00B477C1">
        <w:rPr>
          <w:rFonts w:ascii="Times New Roman" w:hAnsi="Times New Roman" w:cs="Times New Roman"/>
          <w:i/>
          <w:iCs/>
          <w:sz w:val="24"/>
          <w:szCs w:val="24"/>
        </w:rPr>
        <w:t xml:space="preserve">increase the diversity of the Coast Guard by bringing </w:t>
      </w:r>
      <w:r w:rsidR="000261B3" w:rsidRPr="00B477C1">
        <w:rPr>
          <w:rFonts w:ascii="Times New Roman" w:hAnsi="Times New Roman" w:cs="Times New Roman"/>
          <w:i/>
          <w:iCs/>
          <w:sz w:val="24"/>
          <w:szCs w:val="24"/>
        </w:rPr>
        <w:t xml:space="preserve">a larger variety of cultural, technical, and </w:t>
      </w:r>
      <w:r w:rsidR="005C77E5" w:rsidRPr="00B477C1">
        <w:rPr>
          <w:rFonts w:ascii="Times New Roman" w:hAnsi="Times New Roman" w:cs="Times New Roman"/>
          <w:i/>
          <w:iCs/>
          <w:sz w:val="24"/>
          <w:szCs w:val="24"/>
        </w:rPr>
        <w:t>linguistic</w:t>
      </w:r>
      <w:r w:rsidR="000261B3" w:rsidRPr="00B477C1">
        <w:rPr>
          <w:rFonts w:ascii="Times New Roman" w:hAnsi="Times New Roman" w:cs="Times New Roman"/>
          <w:i/>
          <w:iCs/>
          <w:sz w:val="24"/>
          <w:szCs w:val="24"/>
        </w:rPr>
        <w:t xml:space="preserve"> skills into the fleet. </w:t>
      </w:r>
    </w:p>
    <w:p w14:paraId="5EB01316" w14:textId="539D2365" w:rsidR="00755881" w:rsidRPr="00B477C1" w:rsidRDefault="00755881" w:rsidP="00755881">
      <w:pPr>
        <w:rPr>
          <w:rFonts w:ascii="Times New Roman" w:hAnsi="Times New Roman" w:cs="Times New Roman"/>
          <w:b/>
          <w:bCs/>
          <w:color w:val="006BA6"/>
          <w:sz w:val="24"/>
          <w:szCs w:val="24"/>
          <w:u w:val="single"/>
        </w:rPr>
      </w:pPr>
      <w:r w:rsidRPr="00B477C1">
        <w:rPr>
          <w:rFonts w:ascii="Times New Roman" w:hAnsi="Times New Roman" w:cs="Times New Roman"/>
          <w:b/>
          <w:bCs/>
          <w:color w:val="006BA6"/>
          <w:sz w:val="24"/>
          <w:szCs w:val="24"/>
          <w:u w:val="single"/>
        </w:rPr>
        <w:t xml:space="preserve">High Points: </w:t>
      </w:r>
    </w:p>
    <w:p w14:paraId="241F47A4" w14:textId="010E8417" w:rsidR="00874798" w:rsidRPr="00B477C1" w:rsidRDefault="00755881" w:rsidP="005C47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7C1">
        <w:rPr>
          <w:rFonts w:ascii="Times New Roman" w:hAnsi="Times New Roman" w:cs="Times New Roman"/>
          <w:b/>
          <w:bCs/>
          <w:sz w:val="24"/>
          <w:szCs w:val="24"/>
        </w:rPr>
        <w:t>Lawful Permanent Resident</w:t>
      </w:r>
      <w:r w:rsidR="00BE7617" w:rsidRPr="00B477C1">
        <w:rPr>
          <w:rFonts w:ascii="Times New Roman" w:hAnsi="Times New Roman" w:cs="Times New Roman"/>
          <w:b/>
          <w:bCs/>
          <w:sz w:val="24"/>
          <w:szCs w:val="24"/>
        </w:rPr>
        <w:t xml:space="preserve">s: </w:t>
      </w:r>
      <w:r w:rsidR="005C4756" w:rsidRPr="00B477C1">
        <w:rPr>
          <w:rFonts w:ascii="Times New Roman" w:hAnsi="Times New Roman" w:cs="Times New Roman"/>
          <w:sz w:val="24"/>
          <w:szCs w:val="24"/>
        </w:rPr>
        <w:t xml:space="preserve">Lawful </w:t>
      </w:r>
      <w:r w:rsidR="008E3426" w:rsidRPr="00B477C1">
        <w:rPr>
          <w:rFonts w:ascii="Times New Roman" w:hAnsi="Times New Roman" w:cs="Times New Roman"/>
          <w:sz w:val="24"/>
          <w:szCs w:val="24"/>
        </w:rPr>
        <w:t>P</w:t>
      </w:r>
      <w:r w:rsidR="005C4756" w:rsidRPr="00B477C1">
        <w:rPr>
          <w:rFonts w:ascii="Times New Roman" w:hAnsi="Times New Roman" w:cs="Times New Roman"/>
          <w:sz w:val="24"/>
          <w:szCs w:val="24"/>
        </w:rPr>
        <w:t xml:space="preserve">ermanent </w:t>
      </w:r>
      <w:r w:rsidR="008E3426" w:rsidRPr="00B477C1">
        <w:rPr>
          <w:rFonts w:ascii="Times New Roman" w:hAnsi="Times New Roman" w:cs="Times New Roman"/>
          <w:sz w:val="24"/>
          <w:szCs w:val="24"/>
        </w:rPr>
        <w:t>R</w:t>
      </w:r>
      <w:r w:rsidR="005C4756" w:rsidRPr="00B477C1">
        <w:rPr>
          <w:rFonts w:ascii="Times New Roman" w:hAnsi="Times New Roman" w:cs="Times New Roman"/>
          <w:sz w:val="24"/>
          <w:szCs w:val="24"/>
        </w:rPr>
        <w:t>esident</w:t>
      </w:r>
      <w:r w:rsidR="008E3426" w:rsidRPr="00B477C1">
        <w:rPr>
          <w:rFonts w:ascii="Times New Roman" w:hAnsi="Times New Roman" w:cs="Times New Roman"/>
          <w:sz w:val="24"/>
          <w:szCs w:val="24"/>
        </w:rPr>
        <w:t>s (LP</w:t>
      </w:r>
      <w:r w:rsidR="00BE7617" w:rsidRPr="00B477C1">
        <w:rPr>
          <w:rFonts w:ascii="Times New Roman" w:hAnsi="Times New Roman" w:cs="Times New Roman"/>
          <w:sz w:val="24"/>
          <w:szCs w:val="24"/>
        </w:rPr>
        <w:t>R</w:t>
      </w:r>
      <w:r w:rsidR="008E3426" w:rsidRPr="00B477C1">
        <w:rPr>
          <w:rFonts w:ascii="Times New Roman" w:hAnsi="Times New Roman" w:cs="Times New Roman"/>
          <w:sz w:val="24"/>
          <w:szCs w:val="24"/>
        </w:rPr>
        <w:t xml:space="preserve">) are authorized to live and work </w:t>
      </w:r>
      <w:r w:rsidR="002B67BF" w:rsidRPr="00B477C1">
        <w:rPr>
          <w:rFonts w:ascii="Times New Roman" w:hAnsi="Times New Roman" w:cs="Times New Roman"/>
          <w:sz w:val="24"/>
          <w:szCs w:val="24"/>
        </w:rPr>
        <w:t xml:space="preserve">in the U.S. </w:t>
      </w:r>
      <w:r w:rsidR="008E3426" w:rsidRPr="00B477C1">
        <w:rPr>
          <w:rFonts w:ascii="Times New Roman" w:hAnsi="Times New Roman" w:cs="Times New Roman"/>
          <w:sz w:val="24"/>
          <w:szCs w:val="24"/>
        </w:rPr>
        <w:t>on a permanent basis</w:t>
      </w:r>
      <w:r w:rsidR="002B67BF" w:rsidRPr="00B477C1">
        <w:rPr>
          <w:rFonts w:ascii="Times New Roman" w:hAnsi="Times New Roman" w:cs="Times New Roman"/>
          <w:sz w:val="24"/>
          <w:szCs w:val="24"/>
        </w:rPr>
        <w:t>.</w:t>
      </w:r>
      <w:r w:rsidR="008E3426" w:rsidRPr="00B477C1">
        <w:rPr>
          <w:rFonts w:ascii="Times New Roman" w:hAnsi="Times New Roman" w:cs="Times New Roman"/>
          <w:sz w:val="24"/>
          <w:szCs w:val="24"/>
        </w:rPr>
        <w:t xml:space="preserve"> They undergo </w:t>
      </w:r>
      <w:r w:rsidR="002B67BF" w:rsidRPr="00B477C1">
        <w:rPr>
          <w:rFonts w:ascii="Times New Roman" w:hAnsi="Times New Roman" w:cs="Times New Roman"/>
          <w:sz w:val="24"/>
          <w:szCs w:val="24"/>
        </w:rPr>
        <w:t>extensive background checks with DHS and the FBI</w:t>
      </w:r>
      <w:r w:rsidR="00BE7617" w:rsidRPr="00B477C1">
        <w:rPr>
          <w:rFonts w:ascii="Times New Roman" w:hAnsi="Times New Roman" w:cs="Times New Roman"/>
          <w:sz w:val="24"/>
          <w:szCs w:val="24"/>
        </w:rPr>
        <w:t xml:space="preserve"> </w:t>
      </w:r>
      <w:r w:rsidR="00F25115" w:rsidRPr="00B477C1">
        <w:rPr>
          <w:rFonts w:ascii="Times New Roman" w:hAnsi="Times New Roman" w:cs="Times New Roman"/>
          <w:sz w:val="24"/>
          <w:szCs w:val="24"/>
        </w:rPr>
        <w:t xml:space="preserve">and once </w:t>
      </w:r>
      <w:r w:rsidR="00BE7617" w:rsidRPr="00B477C1">
        <w:rPr>
          <w:rFonts w:ascii="Times New Roman" w:hAnsi="Times New Roman" w:cs="Times New Roman"/>
          <w:sz w:val="24"/>
          <w:szCs w:val="24"/>
        </w:rPr>
        <w:t>cleared</w:t>
      </w:r>
      <w:r w:rsidR="00F25115" w:rsidRPr="00B477C1">
        <w:rPr>
          <w:rFonts w:ascii="Times New Roman" w:hAnsi="Times New Roman" w:cs="Times New Roman"/>
          <w:sz w:val="24"/>
          <w:szCs w:val="24"/>
        </w:rPr>
        <w:t xml:space="preserve"> are issued a “green card” with an expiration date</w:t>
      </w:r>
      <w:r w:rsidR="00871387">
        <w:rPr>
          <w:rFonts w:ascii="Times New Roman" w:hAnsi="Times New Roman" w:cs="Times New Roman"/>
          <w:sz w:val="24"/>
          <w:szCs w:val="24"/>
        </w:rPr>
        <w:t xml:space="preserve">. </w:t>
      </w:r>
      <w:r w:rsidR="00B477C1">
        <w:rPr>
          <w:rFonts w:ascii="Times New Roman" w:hAnsi="Times New Roman" w:cs="Times New Roman"/>
          <w:sz w:val="24"/>
          <w:szCs w:val="24"/>
        </w:rPr>
        <w:t>U</w:t>
      </w:r>
      <w:r w:rsidR="00566549" w:rsidRPr="00B477C1">
        <w:rPr>
          <w:rFonts w:ascii="Times New Roman" w:hAnsi="Times New Roman" w:cs="Times New Roman"/>
          <w:sz w:val="24"/>
          <w:szCs w:val="24"/>
        </w:rPr>
        <w:t>ntil</w:t>
      </w:r>
      <w:r w:rsidR="000C2F36" w:rsidRPr="00B477C1">
        <w:rPr>
          <w:rFonts w:ascii="Times New Roman" w:hAnsi="Times New Roman" w:cs="Times New Roman"/>
          <w:sz w:val="24"/>
          <w:szCs w:val="24"/>
        </w:rPr>
        <w:t xml:space="preserve"> </w:t>
      </w:r>
      <w:r w:rsidR="00B477C1">
        <w:rPr>
          <w:rFonts w:ascii="Times New Roman" w:hAnsi="Times New Roman" w:cs="Times New Roman"/>
          <w:sz w:val="24"/>
          <w:szCs w:val="24"/>
        </w:rPr>
        <w:t>the</w:t>
      </w:r>
      <w:r w:rsidR="000C2F36" w:rsidRPr="00B477C1">
        <w:rPr>
          <w:rFonts w:ascii="Times New Roman" w:hAnsi="Times New Roman" w:cs="Times New Roman"/>
          <w:sz w:val="24"/>
          <w:szCs w:val="24"/>
        </w:rPr>
        <w:t xml:space="preserve"> recent policy change</w:t>
      </w:r>
      <w:r w:rsidR="00EB37A5" w:rsidRPr="00B477C1">
        <w:rPr>
          <w:rFonts w:ascii="Times New Roman" w:hAnsi="Times New Roman" w:cs="Times New Roman"/>
          <w:sz w:val="24"/>
          <w:szCs w:val="24"/>
        </w:rPr>
        <w:t>,</w:t>
      </w:r>
      <w:r w:rsidR="00F25115" w:rsidRPr="00B477C1">
        <w:rPr>
          <w:rFonts w:ascii="Times New Roman" w:hAnsi="Times New Roman" w:cs="Times New Roman"/>
          <w:sz w:val="24"/>
          <w:szCs w:val="24"/>
        </w:rPr>
        <w:t xml:space="preserve"> a member’s green card had to be valid </w:t>
      </w:r>
      <w:r w:rsidR="00AC5578" w:rsidRPr="00B477C1">
        <w:rPr>
          <w:rFonts w:ascii="Times New Roman" w:hAnsi="Times New Roman" w:cs="Times New Roman"/>
          <w:sz w:val="24"/>
          <w:szCs w:val="24"/>
        </w:rPr>
        <w:t>for</w:t>
      </w:r>
      <w:r w:rsidR="00F25115" w:rsidRPr="00B477C1">
        <w:rPr>
          <w:rFonts w:ascii="Times New Roman" w:hAnsi="Times New Roman" w:cs="Times New Roman"/>
          <w:sz w:val="24"/>
          <w:szCs w:val="24"/>
        </w:rPr>
        <w:t xml:space="preserve"> their entire enlistment period</w:t>
      </w:r>
      <w:r w:rsidR="00871387">
        <w:rPr>
          <w:rFonts w:ascii="Times New Roman" w:hAnsi="Times New Roman" w:cs="Times New Roman"/>
          <w:sz w:val="24"/>
          <w:szCs w:val="24"/>
        </w:rPr>
        <w:t xml:space="preserve">. </w:t>
      </w:r>
      <w:r w:rsidR="0040603D" w:rsidRPr="00B477C1">
        <w:rPr>
          <w:rFonts w:ascii="Times New Roman" w:hAnsi="Times New Roman" w:cs="Times New Roman"/>
          <w:sz w:val="24"/>
          <w:szCs w:val="24"/>
        </w:rPr>
        <w:t>Since</w:t>
      </w:r>
      <w:r w:rsidR="008C0AAC" w:rsidRPr="00B477C1">
        <w:rPr>
          <w:rFonts w:ascii="Times New Roman" w:hAnsi="Times New Roman" w:cs="Times New Roman"/>
          <w:sz w:val="24"/>
          <w:szCs w:val="24"/>
        </w:rPr>
        <w:t xml:space="preserve"> </w:t>
      </w:r>
      <w:r w:rsidR="00F25115" w:rsidRPr="00B477C1">
        <w:rPr>
          <w:rFonts w:ascii="Times New Roman" w:hAnsi="Times New Roman" w:cs="Times New Roman"/>
          <w:sz w:val="24"/>
          <w:szCs w:val="24"/>
        </w:rPr>
        <w:t>green cards are only issued for 5 or 10 years and can only be renewed when the expiration date is within 6 months</w:t>
      </w:r>
      <w:r w:rsidR="00C67A01" w:rsidRPr="00B477C1">
        <w:rPr>
          <w:rFonts w:ascii="Times New Roman" w:hAnsi="Times New Roman" w:cs="Times New Roman"/>
          <w:sz w:val="24"/>
          <w:szCs w:val="24"/>
        </w:rPr>
        <w:t>, m</w:t>
      </w:r>
      <w:r w:rsidR="008C0AAC" w:rsidRPr="00B477C1">
        <w:rPr>
          <w:rFonts w:ascii="Times New Roman" w:hAnsi="Times New Roman" w:cs="Times New Roman"/>
          <w:sz w:val="24"/>
          <w:szCs w:val="24"/>
        </w:rPr>
        <w:t>any</w:t>
      </w:r>
      <w:r w:rsidR="00BE7617" w:rsidRPr="00B477C1">
        <w:rPr>
          <w:rFonts w:ascii="Times New Roman" w:hAnsi="Times New Roman" w:cs="Times New Roman"/>
          <w:sz w:val="24"/>
          <w:szCs w:val="24"/>
        </w:rPr>
        <w:t xml:space="preserve"> LPR could not apply to the Coast Guard</w:t>
      </w:r>
      <w:r w:rsidR="00871387">
        <w:rPr>
          <w:rFonts w:ascii="Times New Roman" w:hAnsi="Times New Roman" w:cs="Times New Roman"/>
          <w:sz w:val="24"/>
          <w:szCs w:val="24"/>
        </w:rPr>
        <w:t xml:space="preserve">. </w:t>
      </w:r>
      <w:r w:rsidR="00BE7617" w:rsidRPr="00B477C1">
        <w:rPr>
          <w:rFonts w:ascii="Times New Roman" w:hAnsi="Times New Roman" w:cs="Times New Roman"/>
          <w:sz w:val="24"/>
          <w:szCs w:val="24"/>
        </w:rPr>
        <w:t>Other services d</w:t>
      </w:r>
      <w:r w:rsidR="00B477C1">
        <w:rPr>
          <w:rFonts w:ascii="Times New Roman" w:hAnsi="Times New Roman" w:cs="Times New Roman"/>
          <w:sz w:val="24"/>
          <w:szCs w:val="24"/>
        </w:rPr>
        <w:t xml:space="preserve">o </w:t>
      </w:r>
      <w:r w:rsidR="00BE7617" w:rsidRPr="00B477C1">
        <w:rPr>
          <w:rFonts w:ascii="Times New Roman" w:hAnsi="Times New Roman" w:cs="Times New Roman"/>
          <w:sz w:val="24"/>
          <w:szCs w:val="24"/>
        </w:rPr>
        <w:t>not have this limitation</w:t>
      </w:r>
      <w:r w:rsidR="00B477C1">
        <w:rPr>
          <w:rFonts w:ascii="Times New Roman" w:hAnsi="Times New Roman" w:cs="Times New Roman"/>
          <w:sz w:val="24"/>
          <w:szCs w:val="24"/>
        </w:rPr>
        <w:t>; o</w:t>
      </w:r>
      <w:r w:rsidR="00AC5578" w:rsidRPr="00B477C1">
        <w:rPr>
          <w:rFonts w:ascii="Times New Roman" w:hAnsi="Times New Roman" w:cs="Times New Roman"/>
          <w:sz w:val="24"/>
          <w:szCs w:val="24"/>
        </w:rPr>
        <w:t>ur</w:t>
      </w:r>
      <w:r w:rsidR="002B67BF" w:rsidRPr="00B477C1">
        <w:rPr>
          <w:rFonts w:ascii="Times New Roman" w:hAnsi="Times New Roman" w:cs="Times New Roman"/>
          <w:sz w:val="24"/>
          <w:szCs w:val="24"/>
        </w:rPr>
        <w:t xml:space="preserve"> </w:t>
      </w:r>
      <w:r w:rsidR="00AC5578" w:rsidRPr="00B477C1">
        <w:rPr>
          <w:rFonts w:ascii="Times New Roman" w:hAnsi="Times New Roman" w:cs="Times New Roman"/>
          <w:sz w:val="24"/>
          <w:szCs w:val="24"/>
        </w:rPr>
        <w:t>policy is now comparable to other services.</w:t>
      </w:r>
    </w:p>
    <w:p w14:paraId="472BC1E6" w14:textId="77777777" w:rsidR="000261B3" w:rsidRPr="00B477C1" w:rsidRDefault="000261B3" w:rsidP="000261B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6A0EAA6" w14:textId="5F199E43" w:rsidR="00854B76" w:rsidRPr="00B477C1" w:rsidRDefault="00755881" w:rsidP="00854B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7C1">
        <w:rPr>
          <w:rFonts w:ascii="Times New Roman" w:hAnsi="Times New Roman" w:cs="Times New Roman"/>
          <w:b/>
          <w:bCs/>
          <w:sz w:val="24"/>
          <w:szCs w:val="24"/>
        </w:rPr>
        <w:t>Naturalization Process to Become a U.S. Citizen:</w:t>
      </w:r>
      <w:r w:rsidR="00874798" w:rsidRPr="00B477C1">
        <w:rPr>
          <w:rFonts w:ascii="Times New Roman" w:hAnsi="Times New Roman" w:cs="Times New Roman"/>
          <w:sz w:val="24"/>
          <w:szCs w:val="24"/>
        </w:rPr>
        <w:t xml:space="preserve"> U.S. Service members, veterans, and their families are eligible for certain immigration benefits such as </w:t>
      </w:r>
      <w:r w:rsidR="00854B76" w:rsidRPr="00B477C1">
        <w:rPr>
          <w:rFonts w:ascii="Times New Roman" w:hAnsi="Times New Roman" w:cs="Times New Roman"/>
          <w:sz w:val="24"/>
          <w:szCs w:val="24"/>
        </w:rPr>
        <w:t xml:space="preserve">expedited </w:t>
      </w:r>
      <w:r w:rsidR="00874798" w:rsidRPr="00B477C1">
        <w:rPr>
          <w:rFonts w:ascii="Times New Roman" w:hAnsi="Times New Roman" w:cs="Times New Roman"/>
          <w:sz w:val="24"/>
          <w:szCs w:val="24"/>
        </w:rPr>
        <w:t xml:space="preserve">U.S. </w:t>
      </w:r>
      <w:r w:rsidR="00687C8E" w:rsidRPr="00B477C1">
        <w:rPr>
          <w:rFonts w:ascii="Times New Roman" w:hAnsi="Times New Roman" w:cs="Times New Roman"/>
          <w:sz w:val="24"/>
          <w:szCs w:val="24"/>
        </w:rPr>
        <w:t>c</w:t>
      </w:r>
      <w:r w:rsidR="00874798" w:rsidRPr="00B477C1">
        <w:rPr>
          <w:rFonts w:ascii="Times New Roman" w:hAnsi="Times New Roman" w:cs="Times New Roman"/>
          <w:sz w:val="24"/>
          <w:szCs w:val="24"/>
        </w:rPr>
        <w:t>itizenship.</w:t>
      </w:r>
      <w:r w:rsidR="00854B76" w:rsidRPr="00B477C1">
        <w:rPr>
          <w:rFonts w:ascii="Times New Roman" w:hAnsi="Times New Roman" w:cs="Times New Roman"/>
          <w:sz w:val="24"/>
          <w:szCs w:val="24"/>
        </w:rPr>
        <w:t xml:space="preserve"> The recent policy change provides easier access to the creditable service certification a member needs to </w:t>
      </w:r>
      <w:r w:rsidR="00F56EDF" w:rsidRPr="00B477C1">
        <w:rPr>
          <w:rFonts w:ascii="Times New Roman" w:hAnsi="Times New Roman" w:cs="Times New Roman"/>
          <w:sz w:val="24"/>
          <w:szCs w:val="24"/>
        </w:rPr>
        <w:t>valid</w:t>
      </w:r>
      <w:r w:rsidR="00433B00" w:rsidRPr="00B477C1">
        <w:rPr>
          <w:rFonts w:ascii="Times New Roman" w:hAnsi="Times New Roman" w:cs="Times New Roman"/>
          <w:sz w:val="24"/>
          <w:szCs w:val="24"/>
        </w:rPr>
        <w:t>ate</w:t>
      </w:r>
      <w:r w:rsidR="00F56EDF" w:rsidRPr="00B477C1">
        <w:rPr>
          <w:rFonts w:ascii="Times New Roman" w:hAnsi="Times New Roman" w:cs="Times New Roman"/>
          <w:sz w:val="24"/>
          <w:szCs w:val="24"/>
        </w:rPr>
        <w:t xml:space="preserve"> service</w:t>
      </w:r>
      <w:r w:rsidR="00854B76" w:rsidRPr="00B477C1">
        <w:rPr>
          <w:rFonts w:ascii="Times New Roman" w:hAnsi="Times New Roman" w:cs="Times New Roman"/>
          <w:sz w:val="24"/>
          <w:szCs w:val="24"/>
        </w:rPr>
        <w:t xml:space="preserve"> for expedited </w:t>
      </w:r>
      <w:r w:rsidR="00433B00" w:rsidRPr="00B477C1">
        <w:rPr>
          <w:rFonts w:ascii="Times New Roman" w:hAnsi="Times New Roman" w:cs="Times New Roman"/>
          <w:sz w:val="24"/>
          <w:szCs w:val="24"/>
        </w:rPr>
        <w:t>c</w:t>
      </w:r>
      <w:r w:rsidR="00854B76" w:rsidRPr="00B477C1">
        <w:rPr>
          <w:rFonts w:ascii="Times New Roman" w:hAnsi="Times New Roman" w:cs="Times New Roman"/>
          <w:sz w:val="24"/>
          <w:szCs w:val="24"/>
        </w:rPr>
        <w:t>itizenship</w:t>
      </w:r>
      <w:r w:rsidR="008713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ABC4E7" w14:textId="77777777" w:rsidR="00854B76" w:rsidRPr="00B477C1" w:rsidRDefault="00854B76" w:rsidP="00854B7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EDF746" w14:textId="53E64FE5" w:rsidR="00F56EDF" w:rsidRPr="00B477C1" w:rsidRDefault="00F56EDF" w:rsidP="00F56E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7C1">
        <w:rPr>
          <w:rFonts w:ascii="Times New Roman" w:hAnsi="Times New Roman" w:cs="Times New Roman"/>
          <w:b/>
          <w:bCs/>
          <w:sz w:val="24"/>
          <w:szCs w:val="24"/>
        </w:rPr>
        <w:t xml:space="preserve">Non-English Speakers:  </w:t>
      </w:r>
      <w:r w:rsidRPr="00B477C1">
        <w:rPr>
          <w:rFonts w:ascii="Times New Roman" w:hAnsi="Times New Roman" w:cs="Times New Roman"/>
          <w:sz w:val="24"/>
          <w:szCs w:val="24"/>
        </w:rPr>
        <w:t xml:space="preserve">The Coast Guard has several </w:t>
      </w:r>
      <w:r w:rsidR="00FD17FC" w:rsidRPr="00B477C1">
        <w:rPr>
          <w:rFonts w:ascii="Times New Roman" w:hAnsi="Times New Roman" w:cs="Times New Roman"/>
          <w:sz w:val="24"/>
          <w:szCs w:val="24"/>
        </w:rPr>
        <w:t>programs</w:t>
      </w:r>
      <w:r w:rsidRPr="00B477C1">
        <w:rPr>
          <w:rFonts w:ascii="Times New Roman" w:hAnsi="Times New Roman" w:cs="Times New Roman"/>
          <w:sz w:val="24"/>
          <w:szCs w:val="24"/>
        </w:rPr>
        <w:t xml:space="preserve"> to help non-English speakers successfully join and succeed in the Coast Guard</w:t>
      </w:r>
      <w:r w:rsidR="008713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340587" w14:textId="77777777" w:rsidR="00F56EDF" w:rsidRPr="00B477C1" w:rsidRDefault="00F56EDF" w:rsidP="00F56E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45A0CE" w14:textId="1C476AB2" w:rsidR="00FD17FC" w:rsidRPr="00B477C1" w:rsidRDefault="00F56EDF" w:rsidP="00F56E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7C1">
        <w:rPr>
          <w:rFonts w:ascii="Times New Roman" w:hAnsi="Times New Roman" w:cs="Times New Roman"/>
          <w:sz w:val="24"/>
          <w:szCs w:val="24"/>
        </w:rPr>
        <w:t xml:space="preserve">The minimum ASVAB test requirement can be waived for non-English </w:t>
      </w:r>
      <w:r w:rsidR="00FD17FC" w:rsidRPr="00B477C1">
        <w:rPr>
          <w:rFonts w:ascii="Times New Roman" w:hAnsi="Times New Roman" w:cs="Times New Roman"/>
          <w:sz w:val="24"/>
          <w:szCs w:val="24"/>
        </w:rPr>
        <w:t>speakers</w:t>
      </w:r>
      <w:r w:rsidRPr="00B477C1">
        <w:rPr>
          <w:rFonts w:ascii="Times New Roman" w:hAnsi="Times New Roman" w:cs="Times New Roman"/>
          <w:sz w:val="24"/>
          <w:szCs w:val="24"/>
        </w:rPr>
        <w:t xml:space="preserve"> who can </w:t>
      </w:r>
      <w:r w:rsidR="00FD17FC" w:rsidRPr="00B477C1">
        <w:rPr>
          <w:rFonts w:ascii="Times New Roman" w:hAnsi="Times New Roman" w:cs="Times New Roman"/>
          <w:sz w:val="24"/>
          <w:szCs w:val="24"/>
        </w:rPr>
        <w:t>score</w:t>
      </w:r>
      <w:r w:rsidRPr="00B477C1">
        <w:rPr>
          <w:rFonts w:ascii="Times New Roman" w:hAnsi="Times New Roman" w:cs="Times New Roman"/>
          <w:sz w:val="24"/>
          <w:szCs w:val="24"/>
        </w:rPr>
        <w:t xml:space="preserve"> well enough on the English </w:t>
      </w:r>
      <w:r w:rsidR="00FD17FC" w:rsidRPr="00B477C1">
        <w:rPr>
          <w:rFonts w:ascii="Times New Roman" w:hAnsi="Times New Roman" w:cs="Times New Roman"/>
          <w:sz w:val="24"/>
          <w:szCs w:val="24"/>
        </w:rPr>
        <w:t>Comprehension</w:t>
      </w:r>
      <w:r w:rsidRPr="00B477C1">
        <w:rPr>
          <w:rFonts w:ascii="Times New Roman" w:hAnsi="Times New Roman" w:cs="Times New Roman"/>
          <w:sz w:val="24"/>
          <w:szCs w:val="24"/>
        </w:rPr>
        <w:t xml:space="preserve"> Level Exam.</w:t>
      </w:r>
    </w:p>
    <w:p w14:paraId="7D17E713" w14:textId="54C52A0F" w:rsidR="00FD17FC" w:rsidRPr="00B477C1" w:rsidRDefault="00FD17FC" w:rsidP="00F56E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7C1">
        <w:rPr>
          <w:rFonts w:ascii="Times New Roman" w:hAnsi="Times New Roman" w:cs="Times New Roman"/>
          <w:sz w:val="24"/>
          <w:szCs w:val="24"/>
        </w:rPr>
        <w:t xml:space="preserve">The Coast Guard has </w:t>
      </w:r>
      <w:r w:rsidR="00F56EDF" w:rsidRPr="00B477C1">
        <w:rPr>
          <w:rFonts w:ascii="Times New Roman" w:hAnsi="Times New Roman" w:cs="Times New Roman"/>
          <w:sz w:val="24"/>
          <w:szCs w:val="24"/>
        </w:rPr>
        <w:t xml:space="preserve">partnered with the US Air Force’s </w:t>
      </w:r>
      <w:r w:rsidR="00CD6E4C" w:rsidRPr="00B477C1">
        <w:rPr>
          <w:rFonts w:ascii="Times New Roman" w:hAnsi="Times New Roman" w:cs="Times New Roman"/>
          <w:i/>
          <w:iCs/>
          <w:sz w:val="24"/>
          <w:szCs w:val="24"/>
        </w:rPr>
        <w:t>Defense</w:t>
      </w:r>
      <w:r w:rsidR="00471AE2" w:rsidRPr="00B477C1">
        <w:rPr>
          <w:rFonts w:ascii="Times New Roman" w:hAnsi="Times New Roman" w:cs="Times New Roman"/>
          <w:i/>
          <w:iCs/>
          <w:sz w:val="24"/>
          <w:szCs w:val="24"/>
        </w:rPr>
        <w:t xml:space="preserve"> Language Institute</w:t>
      </w:r>
      <w:r w:rsidR="00CD6E4C" w:rsidRPr="00B477C1">
        <w:rPr>
          <w:rFonts w:ascii="Times New Roman" w:hAnsi="Times New Roman" w:cs="Times New Roman"/>
          <w:i/>
          <w:iCs/>
          <w:sz w:val="24"/>
          <w:szCs w:val="24"/>
        </w:rPr>
        <w:t xml:space="preserve"> English Language Center</w:t>
      </w:r>
      <w:r w:rsidR="00CD6E4C" w:rsidRPr="00B477C1">
        <w:rPr>
          <w:rFonts w:ascii="Times New Roman" w:hAnsi="Times New Roman" w:cs="Times New Roman"/>
          <w:sz w:val="24"/>
          <w:szCs w:val="24"/>
        </w:rPr>
        <w:t xml:space="preserve"> (DLIELC) at Joint Base San Antonio-Lockland, Texas. </w:t>
      </w:r>
      <w:r w:rsidRPr="00B477C1">
        <w:rPr>
          <w:rFonts w:ascii="Times New Roman" w:hAnsi="Times New Roman" w:cs="Times New Roman"/>
          <w:sz w:val="24"/>
          <w:szCs w:val="24"/>
        </w:rPr>
        <w:t>Qualified recruits are sworn in, issued uniforms, and sent to this program for up to 24 weeks to learn English</w:t>
      </w:r>
      <w:r w:rsidR="00871387">
        <w:rPr>
          <w:rFonts w:ascii="Times New Roman" w:hAnsi="Times New Roman" w:cs="Times New Roman"/>
          <w:sz w:val="24"/>
          <w:szCs w:val="24"/>
        </w:rPr>
        <w:t xml:space="preserve">. </w:t>
      </w:r>
      <w:r w:rsidRPr="00B477C1">
        <w:rPr>
          <w:rFonts w:ascii="Times New Roman" w:hAnsi="Times New Roman" w:cs="Times New Roman"/>
          <w:sz w:val="24"/>
          <w:szCs w:val="24"/>
        </w:rPr>
        <w:t xml:space="preserve">When they graduate, they are allowed to re-take the ASVAB and then go to </w:t>
      </w:r>
      <w:r w:rsidR="00E440E5" w:rsidRPr="00B477C1">
        <w:rPr>
          <w:rFonts w:ascii="Times New Roman" w:hAnsi="Times New Roman" w:cs="Times New Roman"/>
          <w:sz w:val="24"/>
          <w:szCs w:val="24"/>
        </w:rPr>
        <w:t>basic training</w:t>
      </w:r>
      <w:r w:rsidRPr="00B477C1">
        <w:rPr>
          <w:rFonts w:ascii="Times New Roman" w:hAnsi="Times New Roman" w:cs="Times New Roman"/>
          <w:sz w:val="24"/>
          <w:szCs w:val="24"/>
        </w:rPr>
        <w:t>.</w:t>
      </w:r>
    </w:p>
    <w:p w14:paraId="743F4C22" w14:textId="77777777" w:rsidR="000261B3" w:rsidRPr="00B477C1" w:rsidRDefault="000261B3" w:rsidP="000261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F2186DA" w14:textId="1A45B3A9" w:rsidR="000261B3" w:rsidRPr="00B477C1" w:rsidRDefault="00E47F80" w:rsidP="000261B3">
      <w:pPr>
        <w:rPr>
          <w:rFonts w:ascii="Times New Roman" w:hAnsi="Times New Roman" w:cs="Times New Roman"/>
          <w:b/>
          <w:bCs/>
          <w:color w:val="E03C3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E03C31"/>
          <w:sz w:val="24"/>
          <w:szCs w:val="24"/>
          <w:u w:val="single"/>
        </w:rPr>
        <w:t>L</w:t>
      </w:r>
      <w:r w:rsidR="000261B3" w:rsidRPr="00B477C1">
        <w:rPr>
          <w:rFonts w:ascii="Times New Roman" w:hAnsi="Times New Roman" w:cs="Times New Roman"/>
          <w:b/>
          <w:bCs/>
          <w:color w:val="E03C31"/>
          <w:sz w:val="24"/>
          <w:szCs w:val="24"/>
          <w:u w:val="single"/>
        </w:rPr>
        <w:t xml:space="preserve">inks: </w:t>
      </w:r>
    </w:p>
    <w:p w14:paraId="6FAE4403" w14:textId="77777777" w:rsidR="00B477C1" w:rsidRDefault="00B477C1" w:rsidP="000261B3">
      <w:pPr>
        <w:sectPr w:rsidR="00B477C1" w:rsidSect="00E47F80">
          <w:headerReference w:type="default" r:id="rId7"/>
          <w:footerReference w:type="default" r:id="rId8"/>
          <w:pgSz w:w="12240" w:h="15840"/>
          <w:pgMar w:top="1584" w:right="576" w:bottom="576" w:left="576" w:header="720" w:footer="720" w:gutter="0"/>
          <w:cols w:space="720"/>
          <w:docGrid w:linePitch="360"/>
        </w:sectPr>
      </w:pPr>
    </w:p>
    <w:p w14:paraId="14A8975C" w14:textId="7522B91A" w:rsidR="000261B3" w:rsidRPr="00E47F80" w:rsidRDefault="005D0AD8" w:rsidP="00E47F80">
      <w:pPr>
        <w:spacing w:after="6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477C1" w:rsidRPr="00E47F80">
          <w:rPr>
            <w:rStyle w:val="Hyperlink"/>
            <w:rFonts w:ascii="Times New Roman" w:hAnsi="Times New Roman" w:cs="Times New Roman"/>
            <w:sz w:val="24"/>
            <w:szCs w:val="24"/>
          </w:rPr>
          <w:t>DLIELC Article #1</w:t>
        </w:r>
      </w:hyperlink>
    </w:p>
    <w:p w14:paraId="73E627E9" w14:textId="4B017103" w:rsidR="000261B3" w:rsidRPr="00E47F80" w:rsidRDefault="005D0AD8" w:rsidP="00E47F80">
      <w:pPr>
        <w:spacing w:after="6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B477C1" w:rsidRPr="00E47F80">
          <w:rPr>
            <w:rStyle w:val="Hyperlink"/>
            <w:rFonts w:ascii="Times New Roman" w:hAnsi="Times New Roman" w:cs="Times New Roman"/>
            <w:sz w:val="24"/>
            <w:szCs w:val="24"/>
          </w:rPr>
          <w:t>Naturalization Policy Change Article</w:t>
        </w:r>
      </w:hyperlink>
    </w:p>
    <w:p w14:paraId="7E3A4646" w14:textId="10DE4F99" w:rsidR="00B477C1" w:rsidRPr="00E47F80" w:rsidRDefault="005D0AD8" w:rsidP="00E47F80">
      <w:pPr>
        <w:spacing w:after="60"/>
        <w:rPr>
          <w:rStyle w:val="Hyperlink"/>
          <w:rFonts w:ascii="Times New Roman" w:hAnsi="Times New Roman" w:cs="Times New Roman"/>
          <w:sz w:val="24"/>
          <w:szCs w:val="24"/>
        </w:rPr>
      </w:pPr>
      <w:hyperlink r:id="rId11" w:history="1">
        <w:r w:rsidR="002D0F32" w:rsidRPr="00E47F80">
          <w:rPr>
            <w:rStyle w:val="Hyperlink"/>
            <w:rFonts w:ascii="Times New Roman" w:hAnsi="Times New Roman" w:cs="Times New Roman"/>
            <w:sz w:val="24"/>
            <w:szCs w:val="24"/>
          </w:rPr>
          <w:t>New Green Card Policy</w:t>
        </w:r>
      </w:hyperlink>
      <w:r w:rsidR="002D0F32" w:rsidRPr="00E47F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F5917" w14:textId="57542B7A" w:rsidR="002D0F32" w:rsidRPr="00E47F80" w:rsidRDefault="005D0AD8" w:rsidP="00E47F80">
      <w:pPr>
        <w:spacing w:after="6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2D0F32" w:rsidRPr="00E47F80">
          <w:rPr>
            <w:rStyle w:val="Hyperlink"/>
            <w:rFonts w:ascii="Times New Roman" w:hAnsi="Times New Roman" w:cs="Times New Roman"/>
            <w:sz w:val="24"/>
            <w:szCs w:val="24"/>
          </w:rPr>
          <w:t>DLIELC Article #2</w:t>
        </w:r>
      </w:hyperlink>
      <w:r w:rsidR="002D0F32" w:rsidRPr="00E47F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13BAC7" w14:textId="23045B8D" w:rsidR="00FD17FC" w:rsidRPr="00E47F80" w:rsidRDefault="005D0AD8" w:rsidP="00E47F80">
      <w:pPr>
        <w:spacing w:after="6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FD17FC" w:rsidRPr="00E47F80">
          <w:rPr>
            <w:rStyle w:val="Hyperlink"/>
            <w:rFonts w:ascii="Times New Roman" w:hAnsi="Times New Roman" w:cs="Times New Roman"/>
            <w:sz w:val="24"/>
            <w:szCs w:val="24"/>
          </w:rPr>
          <w:t>ALCOAST 191/23</w:t>
        </w:r>
      </w:hyperlink>
    </w:p>
    <w:p w14:paraId="7247F6C9" w14:textId="672C19D2" w:rsidR="00FD17FC" w:rsidRPr="00E47F80" w:rsidRDefault="005D0AD8" w:rsidP="00E47F80">
      <w:pPr>
        <w:spacing w:after="6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D17FC" w:rsidRPr="00E47F80">
          <w:rPr>
            <w:rStyle w:val="Hyperlink"/>
            <w:rFonts w:ascii="Times New Roman" w:hAnsi="Times New Roman" w:cs="Times New Roman"/>
            <w:sz w:val="24"/>
            <w:szCs w:val="24"/>
          </w:rPr>
          <w:t>ALCOAST 025/23</w:t>
        </w:r>
      </w:hyperlink>
    </w:p>
    <w:sectPr w:rsidR="00FD17FC" w:rsidRPr="00E47F80" w:rsidSect="00B477C1">
      <w:type w:val="continuous"/>
      <w:pgSz w:w="12240" w:h="15840"/>
      <w:pgMar w:top="144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04C37" w14:textId="77777777" w:rsidR="005F413A" w:rsidRDefault="005F413A" w:rsidP="00755881">
      <w:pPr>
        <w:spacing w:after="0" w:line="240" w:lineRule="auto"/>
      </w:pPr>
      <w:r>
        <w:separator/>
      </w:r>
    </w:p>
  </w:endnote>
  <w:endnote w:type="continuationSeparator" w:id="0">
    <w:p w14:paraId="19605200" w14:textId="77777777" w:rsidR="005F413A" w:rsidRDefault="005F413A" w:rsidP="00755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6342" w14:textId="46285577" w:rsidR="00E47F80" w:rsidRPr="00E47F80" w:rsidRDefault="00E47F80" w:rsidP="002566D5">
    <w:pPr>
      <w:pStyle w:val="Footer"/>
      <w:tabs>
        <w:tab w:val="clear" w:pos="4680"/>
        <w:tab w:val="clear" w:pos="9360"/>
        <w:tab w:val="center" w:pos="4950"/>
        <w:tab w:val="right" w:pos="10890"/>
      </w:tabs>
      <w:rPr>
        <w:rFonts w:ascii="Times New Roman" w:hAnsi="Times New Roman" w:cs="Times New Roman"/>
        <w:color w:val="E03C31"/>
        <w:sz w:val="20"/>
        <w:szCs w:val="20"/>
      </w:rPr>
    </w:pPr>
    <w:r w:rsidRPr="00E47F80">
      <w:rPr>
        <w:rFonts w:ascii="Times New Roman" w:hAnsi="Times New Roman" w:cs="Times New Roman"/>
        <w:noProof/>
        <w:color w:val="E03C31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38AE7" wp14:editId="3DDD03F2">
              <wp:simplePos x="0" y="0"/>
              <wp:positionH relativeFrom="column">
                <wp:posOffset>-397565</wp:posOffset>
              </wp:positionH>
              <wp:positionV relativeFrom="paragraph">
                <wp:posOffset>-9000</wp:posOffset>
              </wp:positionV>
              <wp:extent cx="7808181" cy="15572"/>
              <wp:effectExtent l="0" t="0" r="21590" b="2286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808181" cy="15572"/>
                      </a:xfrm>
                      <a:prstGeom prst="line">
                        <a:avLst/>
                      </a:prstGeom>
                      <a:ln w="12700">
                        <a:solidFill>
                          <a:srgbClr val="006BA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62F731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3pt,-.7pt" to="583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" strokecolor="#006ba6" strokeweight="1pt">
              <v:stroke joinstyle="miter"/>
            </v:line>
          </w:pict>
        </mc:Fallback>
      </mc:AlternateContent>
    </w:r>
    <w:r w:rsidRPr="00E47F80">
      <w:rPr>
        <w:rFonts w:ascii="Times New Roman" w:hAnsi="Times New Roman" w:cs="Times New Roman"/>
        <w:color w:val="E03C31"/>
        <w:sz w:val="20"/>
        <w:szCs w:val="20"/>
      </w:rPr>
      <w:t>Recruiting IMT: (202) 795-6477</w:t>
    </w:r>
    <w:r w:rsidRPr="00E47F80">
      <w:rPr>
        <w:rFonts w:ascii="Times New Roman" w:hAnsi="Times New Roman" w:cs="Times New Roman"/>
        <w:color w:val="E03C31"/>
        <w:sz w:val="20"/>
        <w:szCs w:val="20"/>
      </w:rPr>
      <w:tab/>
      <w:t>1 of 1</w:t>
    </w:r>
    <w:r w:rsidRPr="00E47F80">
      <w:rPr>
        <w:rFonts w:ascii="Times New Roman" w:hAnsi="Times New Roman" w:cs="Times New Roman"/>
        <w:color w:val="E03C31"/>
        <w:sz w:val="20"/>
        <w:szCs w:val="20"/>
      </w:rPr>
      <w:tab/>
      <w:t>Updated: 13-Jul-23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ADE2" w14:textId="77777777" w:rsidR="005F413A" w:rsidRDefault="005F413A" w:rsidP="00755881">
      <w:pPr>
        <w:spacing w:after="0" w:line="240" w:lineRule="auto"/>
      </w:pPr>
      <w:r>
        <w:separator/>
      </w:r>
    </w:p>
  </w:footnote>
  <w:footnote w:type="continuationSeparator" w:id="0">
    <w:p w14:paraId="3986D77B" w14:textId="77777777" w:rsidR="005F413A" w:rsidRDefault="005F413A" w:rsidP="00755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EADC" w14:textId="04859382" w:rsidR="00755881" w:rsidRPr="006D3C77" w:rsidRDefault="002566D5" w:rsidP="00D0054E">
    <w:pPr>
      <w:pStyle w:val="Header"/>
      <w:rPr>
        <w:rFonts w:ascii="Times New Roman" w:hAnsi="Times New Roman" w:cs="Times New Roman"/>
        <w:color w:val="006BA6"/>
        <w:sz w:val="48"/>
        <w:szCs w:val="48"/>
      </w:rPr>
    </w:pPr>
    <w:r w:rsidRPr="006D3C77">
      <w:rPr>
        <w:rFonts w:ascii="Times New Roman" w:hAnsi="Times New Roman" w:cs="Times New Roman"/>
        <w:noProof/>
        <w:color w:val="006BA6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966C89" wp14:editId="223E0C4C">
              <wp:simplePos x="0" y="0"/>
              <wp:positionH relativeFrom="page">
                <wp:posOffset>-79513</wp:posOffset>
              </wp:positionH>
              <wp:positionV relativeFrom="paragraph">
                <wp:posOffset>-449249</wp:posOffset>
              </wp:positionV>
              <wp:extent cx="7911548" cy="166978"/>
              <wp:effectExtent l="0" t="0" r="13335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1548" cy="166978"/>
                      </a:xfrm>
                      <a:prstGeom prst="rect">
                        <a:avLst/>
                      </a:prstGeom>
                      <a:solidFill>
                        <a:srgbClr val="006BA6"/>
                      </a:solidFill>
                      <a:ln>
                        <a:solidFill>
                          <a:srgbClr val="006BA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F92BBC" id="Rectangle 1" o:spid="_x0000_s1026" style="position:absolute;margin-left:-6.25pt;margin-top:-35.35pt;width:622.9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" fillcolor="#006ba6" strokecolor="#006ba6" strokeweight="1pt">
              <w10:wrap anchorx="page"/>
            </v:rect>
          </w:pict>
        </mc:Fallback>
      </mc:AlternateContent>
    </w:r>
    <w:r w:rsidR="00CE1330">
      <w:rPr>
        <w:rFonts w:ascii="Times New Roman" w:hAnsi="Times New Roman" w:cs="Times New Roman"/>
        <w:noProof/>
        <w:color w:val="006BA6"/>
        <w:sz w:val="48"/>
        <w:szCs w:val="48"/>
      </w:rPr>
      <w:drawing>
        <wp:anchor distT="0" distB="0" distL="114300" distR="114300" simplePos="0" relativeHeight="251658239" behindDoc="1" locked="0" layoutInCell="1" allowOverlap="1" wp14:anchorId="4B4C30FF" wp14:editId="20DAA9B6">
          <wp:simplePos x="0" y="0"/>
          <wp:positionH relativeFrom="page">
            <wp:posOffset>4765675</wp:posOffset>
          </wp:positionH>
          <wp:positionV relativeFrom="paragraph">
            <wp:posOffset>-274955</wp:posOffset>
          </wp:positionV>
          <wp:extent cx="3003550" cy="715010"/>
          <wp:effectExtent l="0" t="0" r="6350" b="8890"/>
          <wp:wrapTight wrapText="bothSides">
            <wp:wrapPolygon edited="0">
              <wp:start x="0" y="0"/>
              <wp:lineTo x="0" y="21293"/>
              <wp:lineTo x="21509" y="21293"/>
              <wp:lineTo x="21509" y="0"/>
              <wp:lineTo x="0" y="0"/>
            </wp:wrapPolygon>
          </wp:wrapTight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70" b="16091"/>
                  <a:stretch/>
                </pic:blipFill>
                <pic:spPr bwMode="auto">
                  <a:xfrm>
                    <a:off x="0" y="0"/>
                    <a:ext cx="3003550" cy="715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054E" w:rsidRPr="006D3C77">
      <w:rPr>
        <w:rFonts w:ascii="Times New Roman" w:hAnsi="Times New Roman" w:cs="Times New Roman"/>
        <w:color w:val="006BA6"/>
        <w:sz w:val="48"/>
        <w:szCs w:val="48"/>
      </w:rPr>
      <w:t>Pathway to Citizenship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A4C4B"/>
    <w:multiLevelType w:val="hybridMultilevel"/>
    <w:tmpl w:val="2D766E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8110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881"/>
    <w:rsid w:val="000261B3"/>
    <w:rsid w:val="00043F5D"/>
    <w:rsid w:val="000B2F80"/>
    <w:rsid w:val="000C2F36"/>
    <w:rsid w:val="001475B9"/>
    <w:rsid w:val="001E35A4"/>
    <w:rsid w:val="001E7F5D"/>
    <w:rsid w:val="00211F76"/>
    <w:rsid w:val="002566D5"/>
    <w:rsid w:val="00272C3C"/>
    <w:rsid w:val="002B67BF"/>
    <w:rsid w:val="002D0F32"/>
    <w:rsid w:val="002D27AF"/>
    <w:rsid w:val="00356D70"/>
    <w:rsid w:val="003B6B3A"/>
    <w:rsid w:val="003D3F6E"/>
    <w:rsid w:val="003E0979"/>
    <w:rsid w:val="0040603D"/>
    <w:rsid w:val="00430F8E"/>
    <w:rsid w:val="00433B00"/>
    <w:rsid w:val="00471AE2"/>
    <w:rsid w:val="00534ADB"/>
    <w:rsid w:val="00566549"/>
    <w:rsid w:val="00570508"/>
    <w:rsid w:val="005924A0"/>
    <w:rsid w:val="005C4756"/>
    <w:rsid w:val="005C77E5"/>
    <w:rsid w:val="005D0AD8"/>
    <w:rsid w:val="005F413A"/>
    <w:rsid w:val="00603A1A"/>
    <w:rsid w:val="0061390E"/>
    <w:rsid w:val="00657132"/>
    <w:rsid w:val="00687C8E"/>
    <w:rsid w:val="006D3C77"/>
    <w:rsid w:val="006D3D83"/>
    <w:rsid w:val="00737443"/>
    <w:rsid w:val="0074724F"/>
    <w:rsid w:val="00755881"/>
    <w:rsid w:val="007A03CA"/>
    <w:rsid w:val="00854B76"/>
    <w:rsid w:val="00871387"/>
    <w:rsid w:val="00874798"/>
    <w:rsid w:val="008C0AAC"/>
    <w:rsid w:val="008E3426"/>
    <w:rsid w:val="00973B4F"/>
    <w:rsid w:val="00995CDF"/>
    <w:rsid w:val="009A16C0"/>
    <w:rsid w:val="009B2E46"/>
    <w:rsid w:val="009B332B"/>
    <w:rsid w:val="00A21987"/>
    <w:rsid w:val="00A278BA"/>
    <w:rsid w:val="00A55BB9"/>
    <w:rsid w:val="00AB21EB"/>
    <w:rsid w:val="00AC5578"/>
    <w:rsid w:val="00AF4655"/>
    <w:rsid w:val="00B0728F"/>
    <w:rsid w:val="00B477C1"/>
    <w:rsid w:val="00B67994"/>
    <w:rsid w:val="00BA1D68"/>
    <w:rsid w:val="00BD4BA9"/>
    <w:rsid w:val="00BE7617"/>
    <w:rsid w:val="00C67A01"/>
    <w:rsid w:val="00C7154D"/>
    <w:rsid w:val="00CD6E4C"/>
    <w:rsid w:val="00CE1330"/>
    <w:rsid w:val="00D0054E"/>
    <w:rsid w:val="00D71913"/>
    <w:rsid w:val="00DB6ADB"/>
    <w:rsid w:val="00E440E5"/>
    <w:rsid w:val="00E47F80"/>
    <w:rsid w:val="00E90A1A"/>
    <w:rsid w:val="00E92D12"/>
    <w:rsid w:val="00EB37A5"/>
    <w:rsid w:val="00F25115"/>
    <w:rsid w:val="00F50A7B"/>
    <w:rsid w:val="00F56EDF"/>
    <w:rsid w:val="00F811EA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5C218B"/>
  <w15:docId w15:val="{F38D74C3-2916-41D9-A653-71E3D702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881"/>
  </w:style>
  <w:style w:type="paragraph" w:styleId="Footer">
    <w:name w:val="footer"/>
    <w:basedOn w:val="Normal"/>
    <w:link w:val="FooterChar"/>
    <w:uiPriority w:val="99"/>
    <w:unhideWhenUsed/>
    <w:rsid w:val="00755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881"/>
  </w:style>
  <w:style w:type="paragraph" w:styleId="ListParagraph">
    <w:name w:val="List Paragraph"/>
    <w:basedOn w:val="Normal"/>
    <w:uiPriority w:val="34"/>
    <w:qFormat/>
    <w:rsid w:val="00471A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61B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5BB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55BB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477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content.govdelivery.com/accounts/USDHSCG/bulletins/359fceb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airandspaceforces.com/a-path-for-non-native-english-speakers-to-join-the-air-forc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ycg.uscg.mil/News/Article/3393638/new-policy-makes-it-easier-for-green-card-holders-to-enlis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ycg.uscg.mil/News/Article/3319897/coast-guard-clarifies-naturalization-through-military-service-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ycg.uscg.mil/News/Article/3171665/coast-guard-recruits-join-dlielcs-echo-company-for-english-language-training/" TargetMode="External"/><Relationship Id="rId14" Type="http://schemas.openxmlformats.org/officeDocument/2006/relationships/hyperlink" Target="https://content.govdelivery.com/accounts/USDHSCG/bulletins/343af3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Schiro, Tabitha A CAPT USCG PSC (USA)</cp:lastModifiedBy>
  <cp:revision>10</cp:revision>
  <dcterms:created xsi:type="dcterms:W3CDTF">2023-07-12T14:02:00Z</dcterms:created>
  <dcterms:modified xsi:type="dcterms:W3CDTF">2023-07-13T15:32:00Z</dcterms:modified>
</cp:coreProperties>
</file>